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 w:rsidR="001B2CDC">
        <w:rPr>
          <w:rFonts w:ascii="Palatino Linotype" w:hAnsi="Palatino Linotype" w:cs="Arial"/>
          <w:b/>
        </w:rPr>
        <w:t xml:space="preserve">CUADRAGÉSIMA SEXTA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1B2CDC">
        <w:rPr>
          <w:rFonts w:ascii="Palatino Linotype" w:hAnsi="Palatino Linotype" w:cs="Arial"/>
          <w:b/>
        </w:rPr>
        <w:t>DOCE DE DICIEMBRE</w:t>
      </w:r>
      <w:r w:rsidR="00005F50">
        <w:rPr>
          <w:rFonts w:ascii="Palatino Linotype" w:hAnsi="Palatino Linotype" w:cs="Arial"/>
          <w:b/>
        </w:rPr>
        <w:t xml:space="preserve"> DE DOS MIL DIECIOCHO, EN EL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>
        <w:rPr>
          <w:rFonts w:ascii="Palatino Linotype" w:hAnsi="Palatino Linotype" w:cs="Arial"/>
          <w:b/>
        </w:rPr>
        <w:t xml:space="preserve"> </w:t>
      </w:r>
      <w:r w:rsidR="001B2CDC">
        <w:rPr>
          <w:rFonts w:ascii="Palatino Linotype" w:eastAsiaTheme="minorEastAsia" w:hAnsi="Palatino Linotype" w:cs="Arial"/>
          <w:b/>
          <w:bCs/>
          <w:lang w:val="es-ES_tradnl"/>
        </w:rPr>
        <w:t>04060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="00092F50">
        <w:rPr>
          <w:rFonts w:ascii="Palatino Linotype" w:eastAsiaTheme="minorEastAsia" w:hAnsi="Palatino Linotype" w:cs="Arial"/>
          <w:b/>
          <w:bCs/>
          <w:lang w:val="es-ES_tradnl"/>
        </w:rPr>
        <w:t>.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</w:t>
      </w:r>
      <w:r w:rsidR="00005F50">
        <w:rPr>
          <w:rFonts w:ascii="Palatino Linotype" w:hAnsi="Palatino Linotype" w:cs="Arial"/>
        </w:rPr>
        <w:t xml:space="preserve"> de la resolución dictada en el</w:t>
      </w:r>
      <w:r w:rsidRPr="00E42755">
        <w:rPr>
          <w:rFonts w:ascii="Palatino Linotype" w:hAnsi="Palatino Linotype" w:cs="Arial"/>
        </w:rPr>
        <w:t xml:space="preserve"> recurso</w:t>
      </w:r>
      <w:r w:rsidR="00005F50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 xml:space="preserve">de revisión </w:t>
      </w:r>
      <w:r w:rsidR="001B2CDC">
        <w:rPr>
          <w:rFonts w:ascii="Palatino Linotype" w:eastAsiaTheme="minorEastAsia" w:hAnsi="Palatino Linotype"/>
          <w:b/>
          <w:lang w:val="es-ES_tradnl"/>
        </w:rPr>
        <w:t>04060</w:t>
      </w:r>
      <w:r w:rsidRPr="00005F5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 w:rsidR="0021710A">
        <w:rPr>
          <w:rFonts w:ascii="Palatino Linotype" w:hAnsi="Palatino Linotype" w:cs="Arial"/>
        </w:rPr>
        <w:t>la</w:t>
      </w:r>
      <w:r w:rsidRPr="00E42755">
        <w:rPr>
          <w:rFonts w:ascii="Palatino Linotype" w:hAnsi="Palatino Linotype" w:cs="Arial"/>
        </w:rPr>
        <w:t xml:space="preserve"> Comisionad</w:t>
      </w:r>
      <w:r w:rsidR="0021710A">
        <w:rPr>
          <w:rFonts w:ascii="Palatino Linotype" w:hAnsi="Palatino Linotype" w:cs="Arial"/>
        </w:rPr>
        <w:t>a Presidenta</w:t>
      </w:r>
      <w:r>
        <w:rPr>
          <w:rFonts w:ascii="Palatino Linotype" w:hAnsi="Palatino Linotype" w:cs="Arial"/>
        </w:rPr>
        <w:t xml:space="preserve"> </w:t>
      </w:r>
      <w:r w:rsidR="0021710A">
        <w:rPr>
          <w:rFonts w:ascii="Palatino Linotype" w:hAnsi="Palatino Linotype" w:cs="Arial"/>
          <w:b/>
        </w:rPr>
        <w:t>ZULEMA MARTÍNEZ SÁNCHEZ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</w:t>
      </w:r>
      <w:r w:rsidR="00FE15AE">
        <w:rPr>
          <w:rFonts w:ascii="Palatino Linotype" w:hAnsi="Palatino Linotype"/>
        </w:rPr>
        <w:t>s causas que dieron origen al recurso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.</w:t>
      </w:r>
    </w:p>
    <w:p w:rsidR="004B2D44" w:rsidRPr="004B2D44" w:rsidRDefault="004B2D44" w:rsidP="00005F50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i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0346DC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 xml:space="preserve">el histórico </w:t>
      </w:r>
      <w:r w:rsidR="001B2CDC">
        <w:rPr>
          <w:rFonts w:ascii="Palatino Linotype" w:hAnsi="Palatino Linotype"/>
        </w:rPr>
        <w:t xml:space="preserve">de impresiones </w:t>
      </w:r>
      <w:r w:rsidR="001B2CDC" w:rsidRPr="001B2CDC">
        <w:rPr>
          <w:rFonts w:ascii="Palatino Linotype" w:hAnsi="Palatino Linotype"/>
        </w:rPr>
        <w:t>y copias obtenidas por la Dirección de Planeación y Vinculación</w:t>
      </w:r>
      <w:r w:rsidR="00270B99">
        <w:rPr>
          <w:rFonts w:ascii="Palatino Linotype" w:eastAsia="Calibri" w:hAnsi="Palatino Linotype" w:cs="Arial"/>
        </w:rPr>
        <w:t>.</w:t>
      </w:r>
    </w:p>
    <w:p w:rsidR="00407713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en su respuesta</w:t>
      </w:r>
      <w:r>
        <w:rPr>
          <w:rFonts w:ascii="Palatino Linotype" w:hAnsi="Palatino Linotype" w:cs="Arial"/>
        </w:rPr>
        <w:t xml:space="preserve"> </w:t>
      </w:r>
      <w:r w:rsidR="001B2CDC">
        <w:rPr>
          <w:rFonts w:ascii="Palatino Linotype" w:hAnsi="Palatino Linotype" w:cs="Arial"/>
        </w:rPr>
        <w:t xml:space="preserve">manifestó que dentro de las funciones de </w:t>
      </w:r>
      <w:r w:rsidR="001B2CDC" w:rsidRPr="001B2CDC">
        <w:rPr>
          <w:rFonts w:ascii="Palatino Linotype" w:hAnsi="Palatino Linotype" w:cs="Arial"/>
        </w:rPr>
        <w:t>que la Dirección de Planeación y Vinculación</w:t>
      </w:r>
      <w:r w:rsidR="001B2CDC">
        <w:rPr>
          <w:rFonts w:ascii="Palatino Linotype" w:hAnsi="Palatino Linotype" w:cs="Arial"/>
        </w:rPr>
        <w:t xml:space="preserve"> no se encuentra l</w:t>
      </w:r>
      <w:r w:rsidR="0021710A">
        <w:rPr>
          <w:rFonts w:ascii="Palatino Linotype" w:hAnsi="Palatino Linotype" w:cs="Arial"/>
        </w:rPr>
        <w:t xml:space="preserve">a </w:t>
      </w:r>
      <w:r w:rsidR="0021710A" w:rsidRPr="0021710A">
        <w:rPr>
          <w:rFonts w:ascii="Palatino Linotype" w:hAnsi="Palatino Linotype" w:cs="Arial"/>
        </w:rPr>
        <w:t>de realizar un registro de impresiones y copias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las respuestas proporcionadas, </w:t>
      </w:r>
      <w:r w:rsidR="000346DC">
        <w:rPr>
          <w:rFonts w:ascii="Palatino Linotype" w:hAnsi="Palatino Linotype"/>
          <w:b/>
          <w:color w:val="000000"/>
          <w:lang w:val="es-MX" w:eastAsia="es-MX"/>
        </w:rPr>
        <w:t>EL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FE15AE">
        <w:rPr>
          <w:rFonts w:ascii="Palatino Linotype" w:hAnsi="Palatino Linotype" w:cs="Arial"/>
        </w:rPr>
        <w:t>interpuso el</w:t>
      </w:r>
      <w:r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recurso</w:t>
      </w:r>
      <w:r>
        <w:rPr>
          <w:rFonts w:ascii="Palatino Linotype" w:hAnsi="Palatino Linotype" w:cs="Arial"/>
        </w:rPr>
        <w:t xml:space="preserve"> de revisión de mérito.</w:t>
      </w:r>
    </w:p>
    <w:p w:rsidR="0021710A" w:rsidRPr="0021710A" w:rsidRDefault="0021710A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 w:cs="Arial"/>
        </w:rPr>
        <w:t xml:space="preserve">Posteriormente </w:t>
      </w:r>
      <w:r w:rsidRPr="0021710A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 xml:space="preserve">rindió su Informe Justificado, </w:t>
      </w:r>
      <w:r w:rsidR="00DC233D">
        <w:rPr>
          <w:rFonts w:ascii="Palatino Linotype" w:hAnsi="Palatino Linotype" w:cs="Arial"/>
        </w:rPr>
        <w:t>en el que esencialmente ratificó</w:t>
      </w:r>
      <w:r>
        <w:rPr>
          <w:rFonts w:ascii="Palatino Linotype" w:hAnsi="Palatino Linotype" w:cs="Arial"/>
        </w:rPr>
        <w:t xml:space="preserve"> su respuesta.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 w:rsidR="00DC233D">
        <w:rPr>
          <w:rFonts w:ascii="Palatino Linotype" w:hAnsi="Palatino Linotype"/>
        </w:rPr>
        <w:t>el</w:t>
      </w:r>
      <w:r>
        <w:rPr>
          <w:rFonts w:ascii="Palatino Linotype" w:hAnsi="Palatino Linotype"/>
        </w:rPr>
        <w:t xml:space="preserve"> </w:t>
      </w:r>
      <w:r w:rsidRPr="00A01905">
        <w:rPr>
          <w:rFonts w:ascii="Palatino Linotype" w:hAnsi="Palatino Linotype"/>
        </w:rPr>
        <w:t>expediente electrónico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270B99">
        <w:rPr>
          <w:rFonts w:ascii="Palatino Linotype" w:hAnsi="Palatino Linotype" w:cs="Arial"/>
          <w:b/>
        </w:rPr>
        <w:t>REVOCAR</w:t>
      </w:r>
      <w:r>
        <w:rPr>
          <w:rFonts w:ascii="Palatino Linotype" w:hAnsi="Palatino Linotype" w:cs="Arial"/>
          <w:b/>
        </w:rPr>
        <w:t xml:space="preserve"> </w:t>
      </w:r>
      <w:r w:rsidR="00DC233D">
        <w:rPr>
          <w:rFonts w:ascii="Palatino Linotype" w:hAnsi="Palatino Linotype" w:cs="Arial"/>
        </w:rPr>
        <w:t>la respuesta</w:t>
      </w:r>
      <w:r>
        <w:rPr>
          <w:rFonts w:ascii="Palatino Linotype" w:hAnsi="Palatino Linotype" w:cs="Arial"/>
        </w:rPr>
        <w:t xml:space="preserve">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SAIMEX </w:t>
      </w:r>
      <w:r w:rsidR="00F46910">
        <w:rPr>
          <w:rFonts w:ascii="Palatino Linotype" w:hAnsi="Palatino Linotype" w:cs="Arial"/>
        </w:rPr>
        <w:t>d</w:t>
      </w:r>
      <w:r w:rsidR="000346DC">
        <w:rPr>
          <w:rFonts w:ascii="Palatino Linotype" w:hAnsi="Palatino Linotype" w:cs="Arial"/>
        </w:rPr>
        <w:t>e la</w:t>
      </w:r>
      <w:r w:rsidR="0040771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siguiente</w:t>
      </w:r>
      <w:r w:rsidR="000346DC">
        <w:rPr>
          <w:rFonts w:ascii="Palatino Linotype" w:hAnsi="Palatino Linotype" w:cs="Arial"/>
        </w:rPr>
        <w:t xml:space="preserve"> información</w:t>
      </w:r>
      <w:r>
        <w:rPr>
          <w:rFonts w:ascii="Palatino Linotype" w:hAnsi="Palatino Linotype" w:cs="Arial"/>
        </w:rPr>
        <w:t>:</w:t>
      </w:r>
    </w:p>
    <w:p w:rsidR="0021710A" w:rsidRPr="0021710A" w:rsidRDefault="0021710A" w:rsidP="0021710A">
      <w:pPr>
        <w:pStyle w:val="Sinespaciado"/>
        <w:numPr>
          <w:ilvl w:val="0"/>
          <w:numId w:val="8"/>
        </w:numPr>
        <w:ind w:left="851" w:right="757"/>
        <w:jc w:val="both"/>
        <w:rPr>
          <w:rFonts w:ascii="Palatino Linotype" w:hAnsi="Palatino Linotype"/>
          <w:i/>
          <w:sz w:val="22"/>
          <w:szCs w:val="22"/>
        </w:rPr>
      </w:pPr>
      <w:r w:rsidRPr="0021710A">
        <w:rPr>
          <w:rFonts w:ascii="Palatino Linotype" w:hAnsi="Palatino Linotype"/>
          <w:i/>
          <w:sz w:val="22"/>
          <w:szCs w:val="22"/>
        </w:rPr>
        <w:t>Número de impresiones y fotocopias generadas en la Dirección de Planeación y Vinculación durante el periodo comprendido del primero de octubre de dos mil diez al primero de octubre de dos mil dieciocho.</w:t>
      </w:r>
    </w:p>
    <w:p w:rsidR="0021710A" w:rsidRPr="0021710A" w:rsidRDefault="0021710A" w:rsidP="0021710A">
      <w:pPr>
        <w:pStyle w:val="Sinespaciado"/>
        <w:ind w:left="851" w:right="757"/>
        <w:jc w:val="both"/>
        <w:rPr>
          <w:rFonts w:ascii="Palatino Linotype" w:hAnsi="Palatino Linotype"/>
          <w:i/>
          <w:sz w:val="22"/>
          <w:szCs w:val="22"/>
        </w:rPr>
      </w:pPr>
    </w:p>
    <w:p w:rsidR="0021710A" w:rsidRPr="0021710A" w:rsidRDefault="0021710A" w:rsidP="0021710A">
      <w:pPr>
        <w:pStyle w:val="Sinespaciado"/>
        <w:ind w:left="851" w:right="757"/>
        <w:jc w:val="both"/>
        <w:rPr>
          <w:rFonts w:ascii="Palatino Linotype" w:hAnsi="Palatino Linotype"/>
          <w:i/>
          <w:sz w:val="22"/>
          <w:szCs w:val="22"/>
        </w:rPr>
      </w:pPr>
      <w:r w:rsidRPr="0021710A">
        <w:rPr>
          <w:rFonts w:ascii="Palatino Linotype" w:hAnsi="Palatino Linotype"/>
          <w:i/>
          <w:sz w:val="22"/>
          <w:szCs w:val="22"/>
        </w:rPr>
        <w:t>En caso de que el Sujeto Obligado no genere, posea o administre la información solicitada, bastará con que así lo haga del conocimiento del Recurrente.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 xml:space="preserve">n ese sentido, la que suscribe </w:t>
      </w:r>
      <w:r w:rsidR="00DC233D">
        <w:rPr>
          <w:rFonts w:ascii="Palatino Linotype" w:hAnsi="Palatino Linotype" w:cs="Arial"/>
          <w:lang w:val="es-MX"/>
        </w:rPr>
        <w:t xml:space="preserve">reitera, que si bien coincide </w:t>
      </w:r>
      <w:r>
        <w:rPr>
          <w:rFonts w:ascii="Palatino Linotype" w:hAnsi="Palatino Linotype" w:cs="Arial"/>
          <w:lang w:val="es-MX"/>
        </w:rPr>
        <w:t>con la</w:t>
      </w:r>
      <w:r w:rsidR="008D5ED3">
        <w:rPr>
          <w:rFonts w:ascii="Palatino Linotype" w:hAnsi="Palatino Linotype" w:cs="Arial"/>
          <w:lang w:val="es-MX"/>
        </w:rPr>
        <w:t>s causas que dieron origen al recurso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que </w:t>
      </w:r>
      <w:r w:rsidR="000346DC">
        <w:rPr>
          <w:rFonts w:ascii="Palatino Linotype" w:hAnsi="Palatino Linotype" w:cs="Arial"/>
          <w:lang w:val="es-MX"/>
        </w:rPr>
        <w:t>no</w:t>
      </w:r>
      <w:r w:rsidR="00DC233D">
        <w:rPr>
          <w:rFonts w:ascii="Palatino Linotype" w:hAnsi="Palatino Linotype" w:cs="Arial"/>
          <w:lang w:val="es-MX"/>
        </w:rPr>
        <w:t xml:space="preserve"> se prevea</w:t>
      </w:r>
      <w:r>
        <w:rPr>
          <w:rFonts w:ascii="Palatino Linotype" w:hAnsi="Palatino Linotype" w:cs="Arial"/>
          <w:lang w:val="es-MX"/>
        </w:rPr>
        <w:t xml:space="preserve"> </w:t>
      </w:r>
      <w:r w:rsidR="000346DC">
        <w:rPr>
          <w:rFonts w:ascii="Palatino Linotype" w:hAnsi="Palatino Linotype" w:cs="Arial"/>
          <w:lang w:val="es-MX"/>
        </w:rPr>
        <w:t xml:space="preserve">la </w:t>
      </w:r>
      <w:r w:rsidR="00DC233D">
        <w:rPr>
          <w:rFonts w:ascii="Palatino Linotype" w:hAnsi="Palatino Linotype" w:cs="Arial"/>
          <w:lang w:val="es-MX"/>
        </w:rPr>
        <w:t xml:space="preserve">posible </w:t>
      </w:r>
      <w:r w:rsidR="000346DC">
        <w:rPr>
          <w:rFonts w:ascii="Palatino Linotype" w:hAnsi="Palatino Linotype" w:cs="Arial"/>
          <w:lang w:val="es-MX"/>
        </w:rPr>
        <w:t xml:space="preserve">baja documental e inexistencia </w:t>
      </w:r>
      <w:r w:rsidR="004D44FF">
        <w:rPr>
          <w:rFonts w:ascii="Palatino Linotype" w:hAnsi="Palatino Linotype" w:cs="Arial"/>
          <w:lang w:val="es-MX"/>
        </w:rPr>
        <w:t xml:space="preserve">de la información; </w:t>
      </w:r>
      <w:r>
        <w:rPr>
          <w:rFonts w:ascii="Palatino Linotype" w:hAnsi="Palatino Linotype" w:cs="Arial"/>
          <w:lang w:val="es-MX"/>
        </w:rPr>
        <w:t>ya que</w:t>
      </w:r>
      <w:r w:rsidR="00DC233D">
        <w:rPr>
          <w:rFonts w:ascii="Palatino Linotype" w:hAnsi="Palatino Linotype" w:cs="Arial"/>
          <w:lang w:val="es-MX"/>
        </w:rPr>
        <w:t>, el</w:t>
      </w:r>
      <w:r>
        <w:rPr>
          <w:rFonts w:ascii="Palatino Linotype" w:hAnsi="Palatino Linotype" w:cs="Arial"/>
          <w:lang w:val="es-MX"/>
        </w:rPr>
        <w:t xml:space="preserve"> solicitante al </w:t>
      </w:r>
      <w:r w:rsidR="008D5ED3">
        <w:rPr>
          <w:rFonts w:ascii="Palatino Linotype" w:hAnsi="Palatino Linotype" w:cs="Arial"/>
          <w:lang w:val="es-MX"/>
        </w:rPr>
        <w:t xml:space="preserve">pedir el </w:t>
      </w:r>
      <w:r w:rsidR="0021710A">
        <w:rPr>
          <w:rFonts w:ascii="Palatino Linotype" w:hAnsi="Palatino Linotype" w:cs="Arial"/>
          <w:lang w:val="es-MX"/>
        </w:rPr>
        <w:t xml:space="preserve">histórico </w:t>
      </w:r>
      <w:r w:rsidR="0021710A">
        <w:rPr>
          <w:rFonts w:ascii="Palatino Linotype" w:hAnsi="Palatino Linotype"/>
        </w:rPr>
        <w:t xml:space="preserve">de impresiones </w:t>
      </w:r>
      <w:r w:rsidR="0021710A" w:rsidRPr="001B2CDC">
        <w:rPr>
          <w:rFonts w:ascii="Palatino Linotype" w:hAnsi="Palatino Linotype"/>
        </w:rPr>
        <w:t xml:space="preserve">y copias obtenidas por la Dirección de Planeación y </w:t>
      </w:r>
      <w:r w:rsidR="0021710A" w:rsidRPr="001B2CDC">
        <w:rPr>
          <w:rFonts w:ascii="Palatino Linotype" w:hAnsi="Palatino Linotype"/>
        </w:rPr>
        <w:lastRenderedPageBreak/>
        <w:t>Vinculación</w:t>
      </w:r>
      <w:r w:rsidR="0021710A">
        <w:rPr>
          <w:rFonts w:ascii="Palatino Linotype" w:hAnsi="Palatino Linotype" w:cs="Arial"/>
          <w:lang w:val="es-MX"/>
        </w:rPr>
        <w:t xml:space="preserve"> del</w:t>
      </w:r>
      <w:r w:rsidR="004B1786">
        <w:rPr>
          <w:rFonts w:ascii="Palatino Linotype" w:hAnsi="Palatino Linotype" w:cs="Arial"/>
          <w:b/>
          <w:lang w:val="es-MX"/>
        </w:rPr>
        <w:t xml:space="preserve"> SUJETO OBLIGADO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es </w:t>
      </w:r>
      <w:r w:rsidR="00FE15AE">
        <w:rPr>
          <w:rFonts w:ascii="Palatino Linotype" w:hAnsi="Palatino Linotype" w:cs="Arial"/>
          <w:lang w:val="es-MX"/>
        </w:rPr>
        <w:t xml:space="preserve">decir del </w:t>
      </w:r>
      <w:r>
        <w:rPr>
          <w:rFonts w:ascii="Palatino Linotype" w:hAnsi="Palatino Linotype" w:cs="Arial"/>
          <w:lang w:val="es-MX"/>
        </w:rPr>
        <w:t xml:space="preserve">11 de septiembre de 2006. </w:t>
      </w:r>
    </w:p>
    <w:p w:rsidR="004B2D44" w:rsidRDefault="000346D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el</w:t>
      </w:r>
      <w:r w:rsidR="00407BA6">
        <w:rPr>
          <w:rFonts w:ascii="Palatino Linotype" w:hAnsi="Palatino Linotype" w:cs="Arial"/>
          <w:lang w:val="es-MX"/>
        </w:rPr>
        <w:t xml:space="preserve"> particular no precisó en su solicitud</w:t>
      </w:r>
      <w:r w:rsidR="004B2D44">
        <w:rPr>
          <w:rFonts w:ascii="Palatino Linotype" w:hAnsi="Palatino Linotype" w:cs="Arial"/>
          <w:lang w:val="es-MX"/>
        </w:rPr>
        <w:t xml:space="preserve"> de información la temporalidad respecto de la cual requería la inf</w:t>
      </w:r>
      <w:r w:rsidR="008D5ED3">
        <w:rPr>
          <w:rFonts w:ascii="Palatino Linotype" w:hAnsi="Palatino Linotype" w:cs="Arial"/>
          <w:lang w:val="es-MX"/>
        </w:rPr>
        <w:t>ormación; por lo que, si bien el</w:t>
      </w:r>
      <w:r w:rsidR="004B2D44">
        <w:rPr>
          <w:rFonts w:ascii="Palatino Linotype" w:hAnsi="Palatino Linotype" w:cs="Arial"/>
          <w:lang w:val="es-MX"/>
        </w:rPr>
        <w:t xml:space="preserve"> hoy </w:t>
      </w:r>
      <w:r w:rsidR="004B2D44">
        <w:rPr>
          <w:rFonts w:ascii="Palatino Linotype" w:hAnsi="Palatino Linotype" w:cs="Arial"/>
          <w:b/>
          <w:lang w:val="es-MX"/>
        </w:rPr>
        <w:t xml:space="preserve">RECURRENTE </w:t>
      </w:r>
      <w:r w:rsidR="004B2D44">
        <w:rPr>
          <w:rFonts w:ascii="Palatino Linotype" w:hAnsi="Palatino Linotype"/>
        </w:rPr>
        <w:t>manifestó que requería el “</w:t>
      </w:r>
      <w:r w:rsidR="008D5ED3">
        <w:rPr>
          <w:rFonts w:ascii="Palatino Linotype" w:hAnsi="Palatino Linotype"/>
        </w:rPr>
        <w:t>Histórico</w:t>
      </w:r>
      <w:r w:rsidR="004B2D44">
        <w:rPr>
          <w:rFonts w:ascii="Palatino Linotype" w:hAnsi="Palatino Linotype"/>
        </w:rPr>
        <w:t xml:space="preserve">”,  ante la falta de certeza jurídica de a qué se refería la solicitante con dicha palabra, es que la Ponencia </w:t>
      </w:r>
      <w:proofErr w:type="spellStart"/>
      <w:r w:rsidR="004B2D44">
        <w:rPr>
          <w:rFonts w:ascii="Palatino Linotype" w:hAnsi="Palatino Linotype"/>
        </w:rPr>
        <w:t>Resolutora</w:t>
      </w:r>
      <w:proofErr w:type="spellEnd"/>
      <w:r w:rsidR="004B2D44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 xml:space="preserve">Universidad Politécnica del Valle de Toluca inició sus </w:t>
      </w:r>
      <w:r>
        <w:rPr>
          <w:rFonts w:ascii="Palatino Linotype" w:hAnsi="Palatino Linotype"/>
          <w:b/>
        </w:rPr>
        <w:lastRenderedPageBreak/>
        <w:t>operaciones el 11 de septiembre de 2006</w:t>
      </w:r>
      <w:r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</w:t>
      </w:r>
      <w:r w:rsidR="004B1786">
        <w:rPr>
          <w:rFonts w:ascii="Palatino Linotype" w:hAnsi="Palatino Linotype"/>
        </w:rPr>
        <w:t xml:space="preserve">, al </w:t>
      </w:r>
      <w:r w:rsidR="0021710A">
        <w:rPr>
          <w:rFonts w:ascii="Palatino Linotype" w:hAnsi="Palatino Linotype"/>
        </w:rPr>
        <w:t>1 de octubre</w:t>
      </w:r>
      <w:r>
        <w:rPr>
          <w:rFonts w:ascii="Palatino Linotype" w:hAnsi="Palatino Linotype"/>
        </w:rPr>
        <w:t xml:space="preserve"> de 2018; </w:t>
      </w:r>
      <w:r w:rsidR="0021710A">
        <w:rPr>
          <w:rFonts w:ascii="Palatino Linotype" w:hAnsi="Palatino Linotype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1783715</wp:posOffset>
                </wp:positionV>
                <wp:extent cx="5981700" cy="394335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394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F7021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8.05pt,140.45pt" to="442.95pt,4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Palatino Linotype" w:hAnsi="Palatino Linotype"/>
        </w:rPr>
        <w:t>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4953284" cy="626745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96" cy="633832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5D500FE7" wp14:editId="637EECE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Pr="004D589C">
        <w:rPr>
          <w:rFonts w:ascii="Palatino Linotype" w:eastAsia="Arial Unicode MS" w:hAnsi="Palatino Linotype" w:cs="Arial"/>
        </w:rPr>
        <w:t>a la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>Comité de Transparencia en términos de los artículos 49</w:t>
      </w:r>
      <w:r w:rsidR="008D5ED3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 w:rsidR="008D5ED3">
        <w:rPr>
          <w:rFonts w:ascii="Palatino Linotype" w:hAnsi="Palatino Linotype" w:cs="Arial"/>
          <w:lang w:val="es-ES_tradnl"/>
        </w:rPr>
        <w:t>icipios, debiendo notificarlo a</w:t>
      </w:r>
      <w:r w:rsidR="00407BA6">
        <w:rPr>
          <w:rFonts w:ascii="Palatino Linotype" w:hAnsi="Palatino Linotype" w:cs="Arial"/>
          <w:lang w:val="es-ES_tradnl"/>
        </w:rPr>
        <w:t>l</w:t>
      </w:r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resolución.</w:t>
      </w:r>
    </w:p>
    <w:p w:rsidR="004B2D44" w:rsidRPr="004D589C" w:rsidRDefault="008D5ED3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B2D44" w:rsidRPr="004D589C">
        <w:rPr>
          <w:rFonts w:ascii="Palatino Linotype" w:hAnsi="Palatino Linotype" w:cs="Arial"/>
          <w:lang w:val="es-ES_tradnl"/>
        </w:rPr>
        <w:t>, para e</w:t>
      </w:r>
      <w:r w:rsidR="004B2D44">
        <w:rPr>
          <w:rFonts w:ascii="Palatino Linotype" w:hAnsi="Palatino Linotype" w:cs="Arial"/>
          <w:lang w:val="es-ES_tradnl"/>
        </w:rPr>
        <w:t>l caso de que la información hubiera</w:t>
      </w:r>
      <w:r w:rsidR="004B2D44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4B2D44" w:rsidRPr="004D589C">
        <w:rPr>
          <w:rFonts w:ascii="Palatino Linotype" w:hAnsi="Palatino Linotype" w:cs="Arial"/>
          <w:lang w:val="es-ES_tradnl"/>
        </w:rPr>
        <w:t>; sirve de sustento, el criterio emitido por el entonces Instituto Federal de Acceso a la Información y Protección de Datos Personales que enuncia lo siguiente:</w:t>
      </w:r>
    </w:p>
    <w:p w:rsidR="004B2D44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8667AC" w:rsidRPr="004D589C" w:rsidRDefault="008667AC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8667AC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>de la información requerida</w:t>
      </w:r>
      <w:r w:rsidR="000346DC">
        <w:rPr>
          <w:rFonts w:ascii="Palatino Linotype" w:hAnsi="Palatino Linotype" w:cs="Arial"/>
        </w:rPr>
        <w:t xml:space="preserve"> se debió</w:t>
      </w:r>
      <w:r w:rsidR="00A437BE">
        <w:rPr>
          <w:rFonts w:ascii="Palatino Linotype" w:hAnsi="Palatino Linotype" w:cs="Arial"/>
        </w:rPr>
        <w:t xml:space="preserve"> </w:t>
      </w:r>
      <w:r w:rsidR="00F46910">
        <w:rPr>
          <w:rFonts w:ascii="Palatino Linotype" w:hAnsi="Palatino Linotype" w:cs="Arial"/>
        </w:rPr>
        <w:t xml:space="preserve">prever </w:t>
      </w:r>
      <w:r w:rsidR="008D5ED3">
        <w:rPr>
          <w:rFonts w:ascii="Palatino Linotype" w:hAnsi="Palatino Linotype" w:cs="Arial"/>
        </w:rPr>
        <w:t xml:space="preserve">en el estudio y en resolutivos el </w:t>
      </w:r>
      <w:r w:rsidR="00F46910">
        <w:rPr>
          <w:rFonts w:ascii="Palatino Linotype" w:hAnsi="Palatino Linotype" w:cs="Arial"/>
        </w:rPr>
        <w:t xml:space="preserve">ordenar 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 w:rsidR="008D5ED3">
        <w:rPr>
          <w:rFonts w:ascii="Palatino Linotype" w:hAnsi="Palatino Linotype" w:cs="Arial"/>
        </w:rPr>
        <w:t>derivado de</w:t>
      </w:r>
      <w:r>
        <w:rPr>
          <w:rFonts w:ascii="Palatino Linotype" w:hAnsi="Palatino Linotype" w:cs="Arial"/>
        </w:rPr>
        <w:t xml:space="preserve"> la baja documental</w:t>
      </w:r>
      <w:r w:rsidR="00F46910">
        <w:rPr>
          <w:rFonts w:ascii="Palatino Linotype" w:hAnsi="Palatino Linotype" w:cs="Arial"/>
        </w:rPr>
        <w:t xml:space="preserve"> que se hubiese realizado</w:t>
      </w:r>
      <w:r>
        <w:rPr>
          <w:rFonts w:ascii="Palatino Linotype" w:hAnsi="Palatino Linotype" w:cs="Arial"/>
        </w:rPr>
        <w:t>, ello en atención</w:t>
      </w:r>
      <w:r w:rsidR="00DC233D">
        <w:rPr>
          <w:rFonts w:ascii="Palatino Linotype" w:hAnsi="Palatino Linotype" w:cs="Arial"/>
        </w:rPr>
        <w:t xml:space="preserve"> a la temporalidad requerida y</w:t>
      </w:r>
      <w:r>
        <w:rPr>
          <w:rFonts w:ascii="Palatino Linotype" w:hAnsi="Palatino Linotype" w:cs="Arial"/>
        </w:rPr>
        <w:t xml:space="preserve">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</w:t>
      </w:r>
      <w:r w:rsidR="009B16E9">
        <w:rPr>
          <w:rFonts w:ascii="Palatino Linotype" w:hAnsi="Palatino Linotype" w:cs="Arial"/>
        </w:rPr>
        <w:t>.</w:t>
      </w: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092F50" w:rsidRDefault="00092F50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092F50" w:rsidRDefault="00092F50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092F50" w:rsidRDefault="00092F50" w:rsidP="00FD31A9">
            <w:pPr>
              <w:rPr>
                <w:rFonts w:ascii="Palatino Linotype" w:hAnsi="Palatino Linotype"/>
                <w:b/>
              </w:rPr>
            </w:pPr>
          </w:p>
          <w:p w:rsidR="00092F50" w:rsidRDefault="00092F50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C60C1C" w:rsidRDefault="00C60C1C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C60C1C" w:rsidRDefault="00C60C1C" w:rsidP="00F56169">
            <w:pPr>
              <w:jc w:val="center"/>
              <w:rPr>
                <w:rFonts w:ascii="Palatino Linotype" w:hAnsi="Palatino Linotype"/>
                <w:b/>
              </w:rPr>
            </w:pPr>
          </w:p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092F50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FD31A9" w:rsidRPr="001950C9" w:rsidRDefault="00FD31A9" w:rsidP="00092F50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A437BE" w:rsidRPr="00C60C1C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10"/>
          <w:szCs w:val="10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la </w:t>
      </w:r>
      <w:r w:rsidR="009B16E9">
        <w:rPr>
          <w:rFonts w:ascii="Palatino Linotype" w:eastAsia="Calibri" w:hAnsi="Palatino Linotype" w:cs="Arial"/>
          <w:color w:val="000000" w:themeColor="text1"/>
          <w:sz w:val="20"/>
          <w:szCs w:val="20"/>
        </w:rPr>
        <w:t>resolución del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 de revisión 0</w:t>
      </w:r>
      <w:r w:rsidR="009B16E9">
        <w:rPr>
          <w:rFonts w:ascii="Palatino Linotype" w:eastAsia="Calibri" w:hAnsi="Palatino Linotype" w:cs="Arial"/>
          <w:color w:val="000000" w:themeColor="text1"/>
          <w:sz w:val="20"/>
          <w:szCs w:val="20"/>
        </w:rPr>
        <w:t>4060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A437B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9B16E9">
        <w:rPr>
          <w:rFonts w:ascii="Palatino Linotype" w:eastAsia="Calibri" w:hAnsi="Palatino Linotype" w:cs="Arial"/>
          <w:color w:val="000000" w:themeColor="text1"/>
          <w:sz w:val="20"/>
          <w:szCs w:val="20"/>
        </w:rPr>
        <w:t>doce de diciembre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C60C1C" w:rsidRPr="00C60C1C" w:rsidRDefault="00C60C1C" w:rsidP="004B2D44">
      <w:pPr>
        <w:jc w:val="both"/>
        <w:rPr>
          <w:rFonts w:ascii="Palatino Linotype" w:eastAsia="Calibri" w:hAnsi="Palatino Linotype" w:cs="Arial"/>
          <w:color w:val="000000" w:themeColor="text1"/>
          <w:sz w:val="8"/>
          <w:szCs w:val="8"/>
        </w:rPr>
      </w:pPr>
    </w:p>
    <w:p w:rsidR="004B2D44" w:rsidRDefault="000346DC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YSM/EJCA</w:t>
      </w:r>
    </w:p>
    <w:sectPr w:rsidR="004B2D44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47A" w:rsidRDefault="00B9047A" w:rsidP="004B2D44">
      <w:r>
        <w:separator/>
      </w:r>
    </w:p>
  </w:endnote>
  <w:endnote w:type="continuationSeparator" w:id="0">
    <w:p w:rsidR="00B9047A" w:rsidRDefault="00B9047A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FD31A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FD31A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FD31A9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FD31A9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FD31A9">
      <w:rPr>
        <w:rFonts w:ascii="Palatino Linotype" w:hAnsi="Palatino Linotype" w:cs="Arial"/>
        <w:b/>
        <w:bCs/>
        <w:noProof/>
        <w:sz w:val="20"/>
        <w:szCs w:val="20"/>
      </w:rPr>
      <w:t>7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FD31A9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FD31A9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47A" w:rsidRDefault="00B9047A" w:rsidP="004B2D44">
      <w:r>
        <w:separator/>
      </w:r>
    </w:p>
  </w:footnote>
  <w:footnote w:type="continuationSeparator" w:id="0">
    <w:p w:rsidR="00B9047A" w:rsidRDefault="00B9047A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FD31A9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FD31A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</w:p>
  <w:p w:rsidR="005C7C8F" w:rsidRDefault="00092F50" w:rsidP="00005F50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005F50" w:rsidRDefault="00092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04060/INFOEM/IP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>8</w:t>
    </w: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2E3829" w:rsidRDefault="00FD31A9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87.9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FD31A9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D21C4"/>
    <w:multiLevelType w:val="hybridMultilevel"/>
    <w:tmpl w:val="2102AC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704178"/>
    <w:multiLevelType w:val="hybridMultilevel"/>
    <w:tmpl w:val="AE825B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05F50"/>
    <w:rsid w:val="000346DC"/>
    <w:rsid w:val="000352DE"/>
    <w:rsid w:val="00092F50"/>
    <w:rsid w:val="00117239"/>
    <w:rsid w:val="001B2CDC"/>
    <w:rsid w:val="0021710A"/>
    <w:rsid w:val="00270B99"/>
    <w:rsid w:val="003062A6"/>
    <w:rsid w:val="003E5431"/>
    <w:rsid w:val="00407713"/>
    <w:rsid w:val="00407BA6"/>
    <w:rsid w:val="00437715"/>
    <w:rsid w:val="004651CB"/>
    <w:rsid w:val="004B1786"/>
    <w:rsid w:val="004B2D44"/>
    <w:rsid w:val="004D44FF"/>
    <w:rsid w:val="00522FB3"/>
    <w:rsid w:val="006E03F3"/>
    <w:rsid w:val="007A1761"/>
    <w:rsid w:val="008667AC"/>
    <w:rsid w:val="008B06B2"/>
    <w:rsid w:val="008D5ED3"/>
    <w:rsid w:val="009B16E9"/>
    <w:rsid w:val="009F701C"/>
    <w:rsid w:val="00A437BE"/>
    <w:rsid w:val="00B9047A"/>
    <w:rsid w:val="00BF111F"/>
    <w:rsid w:val="00C23B43"/>
    <w:rsid w:val="00C60C1C"/>
    <w:rsid w:val="00C9714C"/>
    <w:rsid w:val="00D077B3"/>
    <w:rsid w:val="00DA5388"/>
    <w:rsid w:val="00DC233D"/>
    <w:rsid w:val="00DC5995"/>
    <w:rsid w:val="00EC790E"/>
    <w:rsid w:val="00F46910"/>
    <w:rsid w:val="00FD31A9"/>
    <w:rsid w:val="00FE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Sinespaciado">
    <w:name w:val="No Spacing"/>
    <w:aliases w:val="Francesa"/>
    <w:link w:val="SinespaciadoCar"/>
    <w:uiPriority w:val="1"/>
    <w:qFormat/>
    <w:rsid w:val="00217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aliases w:val="Francesa Car"/>
    <w:link w:val="Sinespaciado"/>
    <w:uiPriority w:val="1"/>
    <w:locked/>
    <w:rsid w:val="0021710A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1207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PONENCIA EAY</cp:lastModifiedBy>
  <cp:revision>6</cp:revision>
  <cp:lastPrinted>2018-12-14T20:04:00Z</cp:lastPrinted>
  <dcterms:created xsi:type="dcterms:W3CDTF">2018-12-14T20:04:00Z</dcterms:created>
  <dcterms:modified xsi:type="dcterms:W3CDTF">2019-01-24T01:52:00Z</dcterms:modified>
</cp:coreProperties>
</file>